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i w:val="1"/>
          <w:sz w:val="24"/>
          <w:szCs w:val="24"/>
          <w:rtl w:val="0"/>
        </w:rPr>
        <w:t xml:space="preserve">Vidanta Acapulco, </w:t>
      </w:r>
      <w:r w:rsidDel="00000000" w:rsidR="00000000" w:rsidRPr="00000000">
        <w:rPr>
          <w:b w:val="1"/>
          <w:sz w:val="24"/>
          <w:szCs w:val="24"/>
          <w:rtl w:val="0"/>
        </w:rPr>
        <w:t xml:space="preserve">sede del Concierto Especial </w:t>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de la La Orquesta Filarmónica de Acapulco </w:t>
      </w:r>
    </w:p>
    <w:p w:rsidR="00000000" w:rsidDel="00000000" w:rsidP="00000000" w:rsidRDefault="00000000" w:rsidRPr="00000000" w14:paraId="00000004">
      <w:pPr>
        <w:spacing w:line="276"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right="571" w:hanging="360"/>
        <w:jc w:val="both"/>
      </w:pPr>
      <w:r w:rsidDel="00000000" w:rsidR="00000000" w:rsidRPr="00000000">
        <w:rPr>
          <w:rtl w:val="0"/>
        </w:rPr>
        <w:t xml:space="preserve">Desde una escapada romántica hasta unas vacaciones familiares,</w:t>
      </w:r>
      <w:r w:rsidDel="00000000" w:rsidR="00000000" w:rsidRPr="00000000">
        <w:rPr>
          <w:i w:val="1"/>
          <w:rtl w:val="0"/>
        </w:rPr>
        <w:t xml:space="preserve"> Vidanta Acapulco</w:t>
      </w:r>
      <w:r w:rsidDel="00000000" w:rsidR="00000000" w:rsidRPr="00000000">
        <w:rPr>
          <w:rtl w:val="0"/>
        </w:rPr>
        <w:t xml:space="preserve"> se convierte en el destino ideal para celebrar cualquier momento especial, acompañado por el mejor servicio hotelero de México.</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Acapulco, Guerrero a 23 de septiembre de 2022.- </w:t>
      </w:r>
      <w:r w:rsidDel="00000000" w:rsidR="00000000" w:rsidRPr="00000000">
        <w:rPr>
          <w:b w:val="1"/>
          <w:i w:val="1"/>
          <w:color w:val="0a0a0a"/>
          <w:rtl w:val="0"/>
        </w:rPr>
        <w:t xml:space="preserve">Grupo Vidanta</w:t>
      </w:r>
      <w:r w:rsidDel="00000000" w:rsidR="00000000" w:rsidRPr="00000000">
        <w:rPr>
          <w:color w:val="0a0a0a"/>
          <w:rtl w:val="0"/>
        </w:rPr>
        <w:t xml:space="preserve"> -</w:t>
      </w:r>
      <w:r w:rsidDel="00000000" w:rsidR="00000000" w:rsidRPr="00000000">
        <w:rPr>
          <w:rtl w:val="0"/>
        </w:rPr>
        <w:t xml:space="preserve">el desarrollador líder de </w:t>
      </w:r>
      <w:r w:rsidDel="00000000" w:rsidR="00000000" w:rsidRPr="00000000">
        <w:rPr>
          <w:i w:val="1"/>
          <w:rtl w:val="0"/>
        </w:rPr>
        <w:t xml:space="preserve">resorts</w:t>
      </w:r>
      <w:r w:rsidDel="00000000" w:rsidR="00000000" w:rsidRPr="00000000">
        <w:rPr>
          <w:rtl w:val="0"/>
        </w:rPr>
        <w:t xml:space="preserve"> e infraestructura turística en México y Latinoamérica- en colaboración con la Secretaría de Cultura y la Orquesta Filarmónica de Acapulco presentan: </w:t>
      </w:r>
      <w:r w:rsidDel="00000000" w:rsidR="00000000" w:rsidRPr="00000000">
        <w:rPr>
          <w:i w:val="1"/>
          <w:rtl w:val="0"/>
        </w:rPr>
        <w:t xml:space="preserve">Gala Mexicana</w:t>
      </w:r>
      <w:r w:rsidDel="00000000" w:rsidR="00000000" w:rsidRPr="00000000">
        <w:rPr>
          <w:rtl w:val="0"/>
        </w:rPr>
        <w:t xml:space="preserve">. Concierto Especial de la Temporada Hotelera que se llevará a cabo el 23 de septiembre a las 19 h, en el exclusivo Palacio Maya de Vidanta Acapulco, el cual tendrá acceso gratuito.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Con espacios y servicios que ofrecen vivencias inmersivas exclusivas, piscinas inmaculadas y una vida nocturna próspera, el icónico destino de </w:t>
      </w:r>
      <w:r w:rsidDel="00000000" w:rsidR="00000000" w:rsidRPr="00000000">
        <w:rPr>
          <w:b w:val="1"/>
          <w:i w:val="1"/>
          <w:rtl w:val="0"/>
        </w:rPr>
        <w:t xml:space="preserve">Vidanta Acapulco</w:t>
      </w:r>
      <w:r w:rsidDel="00000000" w:rsidR="00000000" w:rsidRPr="00000000">
        <w:rPr>
          <w:rtl w:val="0"/>
        </w:rPr>
        <w:t xml:space="preserve"> será la escapada perfecta para disfrutar de la agrupación de jóvenes del Ballet Folklórico Malintzin de la UAGro que, en conjunto con sus más de 26 bailarines presentará su espectacular danza llena de colorido y de gran atractivo para todo público interesado.</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Para complementar la lista de participantes durante la </w:t>
      </w:r>
      <w:r w:rsidDel="00000000" w:rsidR="00000000" w:rsidRPr="00000000">
        <w:rPr>
          <w:i w:val="1"/>
          <w:rtl w:val="0"/>
        </w:rPr>
        <w:t xml:space="preserve">Gala Mexicana</w:t>
      </w:r>
      <w:r w:rsidDel="00000000" w:rsidR="00000000" w:rsidRPr="00000000">
        <w:rPr>
          <w:rtl w:val="0"/>
        </w:rPr>
        <w:t xml:space="preserve"> en el exclusivo Palacio Maya, el evento incluirá la participación de las </w:t>
      </w:r>
      <w:r w:rsidDel="00000000" w:rsidR="00000000" w:rsidRPr="00000000">
        <w:rPr>
          <w:i w:val="1"/>
          <w:rtl w:val="0"/>
        </w:rPr>
        <w:t xml:space="preserve">Talentos Guerrerenses</w:t>
      </w:r>
      <w:r w:rsidDel="00000000" w:rsidR="00000000" w:rsidRPr="00000000">
        <w:rPr>
          <w:rtl w:val="0"/>
        </w:rPr>
        <w:t xml:space="preserve">: Fernanda Álvarez y Mahana López; jóvenes solistas que han tenido destacadas participaciones en conciertos y eventos especiales.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Ninguna visita a Acapulco está completa sin disfrutar de un famoso espectáculo de entretenimiento, por eso la asistencia a esta increíble exhibición Folklórica, acompañada del mejor servicio hotelero en México, será totalmente gratuita, con la posibilidad de encontrar los boletos en las oficinas de la Orquesta Filarmónica de Acapulco.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i w:val="1"/>
          <w:rtl w:val="0"/>
        </w:rPr>
        <w:t xml:space="preserve">Vidanta</w:t>
      </w:r>
      <w:r w:rsidDel="00000000" w:rsidR="00000000" w:rsidRPr="00000000">
        <w:rPr>
          <w:rtl w:val="0"/>
        </w:rPr>
        <w:t xml:space="preserve"> siempre busca ofrecer los mejores espectáculos y actividades de entretenimiento para celebrar junto a sus huéspedes. Su ambiente familiar es ideal para disfrutar de las exhibiciones y celebraciones tematizadas durante todo el año, desde reyes, pasando por las fiestas nacionales y hasta llegar a las fiestas decembrinas.</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color w:val="0a0a0a"/>
        </w:rPr>
      </w:pPr>
      <w:r w:rsidDel="00000000" w:rsidR="00000000" w:rsidRPr="00000000">
        <w:rPr>
          <w:color w:val="0a0a0a"/>
          <w:rtl w:val="0"/>
        </w:rPr>
        <w:t xml:space="preserve">Para conocer más acerca de los galardonados desarrollos a nivel internacional que ofrece </w:t>
      </w:r>
      <w:r w:rsidDel="00000000" w:rsidR="00000000" w:rsidRPr="00000000">
        <w:rPr>
          <w:b w:val="1"/>
          <w:i w:val="1"/>
          <w:color w:val="0a0a0a"/>
          <w:rtl w:val="0"/>
        </w:rPr>
        <w:t xml:space="preserve">Grupo Vidanta</w:t>
      </w:r>
      <w:r w:rsidDel="00000000" w:rsidR="00000000" w:rsidRPr="00000000">
        <w:rPr>
          <w:color w:val="0a0a0a"/>
          <w:rtl w:val="0"/>
        </w:rPr>
        <w:t xml:space="preserve">, así como su portafolio completo de destinos, </w:t>
      </w:r>
      <w:r w:rsidDel="00000000" w:rsidR="00000000" w:rsidRPr="00000000">
        <w:rPr>
          <w:i w:val="1"/>
          <w:color w:val="0a0a0a"/>
          <w:rtl w:val="0"/>
        </w:rPr>
        <w:t xml:space="preserve">resorts</w:t>
      </w:r>
      <w:r w:rsidDel="00000000" w:rsidR="00000000" w:rsidRPr="00000000">
        <w:rPr>
          <w:color w:val="0a0a0a"/>
          <w:rtl w:val="0"/>
        </w:rPr>
        <w:t xml:space="preserve"> e innovadoras vivencias vacacionales y de entretenimiento, por favor visite </w:t>
      </w:r>
      <w:hyperlink r:id="rId6">
        <w:r w:rsidDel="00000000" w:rsidR="00000000" w:rsidRPr="00000000">
          <w:rPr>
            <w:color w:val="1155cc"/>
            <w:u w:val="single"/>
            <w:rtl w:val="0"/>
          </w:rPr>
          <w:t xml:space="preserve">www.GrupoVidanta.com</w:t>
        </w:r>
      </w:hyperlink>
      <w:r w:rsidDel="00000000" w:rsidR="00000000" w:rsidRPr="00000000">
        <w:rPr>
          <w:color w:val="0a0a0a"/>
          <w:rtl w:val="0"/>
        </w:rPr>
        <w:t xml:space="preserve">.</w:t>
      </w:r>
    </w:p>
    <w:p w:rsidR="00000000" w:rsidDel="00000000" w:rsidP="00000000" w:rsidRDefault="00000000" w:rsidRPr="00000000" w14:paraId="00000012">
      <w:pPr>
        <w:spacing w:line="240" w:lineRule="auto"/>
        <w:jc w:val="both"/>
        <w:rPr>
          <w:color w:val="0a0a0a"/>
        </w:rPr>
      </w:pPr>
      <w:r w:rsidDel="00000000" w:rsidR="00000000" w:rsidRPr="00000000">
        <w:rPr>
          <w:rtl w:val="0"/>
        </w:rPr>
      </w:r>
    </w:p>
    <w:p w:rsidR="00000000" w:rsidDel="00000000" w:rsidP="00000000" w:rsidRDefault="00000000" w:rsidRPr="00000000" w14:paraId="00000013">
      <w:pPr>
        <w:spacing w:line="240" w:lineRule="auto"/>
        <w:jc w:val="center"/>
        <w:rPr>
          <w:color w:val="0a0a0a"/>
        </w:rPr>
      </w:pPr>
      <w:r w:rsidDel="00000000" w:rsidR="00000000" w:rsidRPr="00000000">
        <w:rPr>
          <w:rtl w:val="0"/>
        </w:rPr>
      </w:r>
    </w:p>
    <w:p w:rsidR="00000000" w:rsidDel="00000000" w:rsidP="00000000" w:rsidRDefault="00000000" w:rsidRPr="00000000" w14:paraId="00000014">
      <w:pPr>
        <w:spacing w:line="240" w:lineRule="auto"/>
        <w:jc w:val="center"/>
        <w:rPr>
          <w:color w:val="0a0a0a"/>
        </w:rPr>
      </w:pPr>
      <w:r w:rsidDel="00000000" w:rsidR="00000000" w:rsidRPr="00000000">
        <w:rPr>
          <w:color w:val="0a0a0a"/>
          <w:rtl w:val="0"/>
        </w:rPr>
        <w:t xml:space="preserve">###</w:t>
      </w:r>
    </w:p>
    <w:p w:rsidR="00000000" w:rsidDel="00000000" w:rsidP="00000000" w:rsidRDefault="00000000" w:rsidRPr="00000000" w14:paraId="00000015">
      <w:pPr>
        <w:spacing w:line="240" w:lineRule="auto"/>
        <w:jc w:val="center"/>
        <w:rPr>
          <w:color w:val="0a0a0a"/>
        </w:rPr>
      </w:pPr>
      <w:r w:rsidDel="00000000" w:rsidR="00000000" w:rsidRPr="00000000">
        <w:rPr>
          <w:rtl w:val="0"/>
        </w:rPr>
      </w:r>
    </w:p>
    <w:p w:rsidR="00000000" w:rsidDel="00000000" w:rsidP="00000000" w:rsidRDefault="00000000" w:rsidRPr="00000000" w14:paraId="00000016">
      <w:pPr>
        <w:spacing w:line="240" w:lineRule="auto"/>
        <w:jc w:val="both"/>
        <w:rPr>
          <w:b w:val="1"/>
          <w:color w:val="0a0a0a"/>
          <w:sz w:val="18"/>
          <w:szCs w:val="18"/>
        </w:rPr>
      </w:pPr>
      <w:r w:rsidDel="00000000" w:rsidR="00000000" w:rsidRPr="00000000">
        <w:rPr>
          <w:rtl w:val="0"/>
        </w:rPr>
      </w:r>
    </w:p>
    <w:p w:rsidR="00000000" w:rsidDel="00000000" w:rsidP="00000000" w:rsidRDefault="00000000" w:rsidRPr="00000000" w14:paraId="00000017">
      <w:pPr>
        <w:spacing w:line="240" w:lineRule="auto"/>
        <w:jc w:val="both"/>
        <w:rPr>
          <w:b w:val="1"/>
          <w:color w:val="0a0a0a"/>
          <w:sz w:val="18"/>
          <w:szCs w:val="18"/>
        </w:rPr>
      </w:pPr>
      <w:r w:rsidDel="00000000" w:rsidR="00000000" w:rsidRPr="00000000">
        <w:rPr>
          <w:rtl w:val="0"/>
        </w:rPr>
      </w:r>
    </w:p>
    <w:p w:rsidR="00000000" w:rsidDel="00000000" w:rsidP="00000000" w:rsidRDefault="00000000" w:rsidRPr="00000000" w14:paraId="00000018">
      <w:pPr>
        <w:spacing w:line="240" w:lineRule="auto"/>
        <w:jc w:val="both"/>
        <w:rPr>
          <w:b w:val="1"/>
          <w:color w:val="0a0a0a"/>
          <w:sz w:val="18"/>
          <w:szCs w:val="18"/>
        </w:rPr>
      </w:pPr>
      <w:r w:rsidDel="00000000" w:rsidR="00000000" w:rsidRPr="00000000">
        <w:rPr>
          <w:rtl w:val="0"/>
        </w:rPr>
      </w:r>
    </w:p>
    <w:p w:rsidR="00000000" w:rsidDel="00000000" w:rsidP="00000000" w:rsidRDefault="00000000" w:rsidRPr="00000000" w14:paraId="00000019">
      <w:pPr>
        <w:spacing w:line="240" w:lineRule="auto"/>
        <w:jc w:val="both"/>
        <w:rPr>
          <w:b w:val="1"/>
          <w:color w:val="0a0a0a"/>
          <w:sz w:val="18"/>
          <w:szCs w:val="18"/>
        </w:rPr>
      </w:pPr>
      <w:r w:rsidDel="00000000" w:rsidR="00000000" w:rsidRPr="00000000">
        <w:rPr>
          <w:rtl w:val="0"/>
        </w:rPr>
      </w:r>
    </w:p>
    <w:p w:rsidR="00000000" w:rsidDel="00000000" w:rsidP="00000000" w:rsidRDefault="00000000" w:rsidRPr="00000000" w14:paraId="0000001A">
      <w:pPr>
        <w:spacing w:line="240" w:lineRule="auto"/>
        <w:jc w:val="both"/>
        <w:rPr>
          <w:b w:val="1"/>
          <w:color w:val="0a0a0a"/>
          <w:sz w:val="18"/>
          <w:szCs w:val="18"/>
        </w:rPr>
      </w:pPr>
      <w:r w:rsidDel="00000000" w:rsidR="00000000" w:rsidRPr="00000000">
        <w:rPr>
          <w:rtl w:val="0"/>
        </w:rPr>
      </w:r>
    </w:p>
    <w:p w:rsidR="00000000" w:rsidDel="00000000" w:rsidP="00000000" w:rsidRDefault="00000000" w:rsidRPr="00000000" w14:paraId="0000001B">
      <w:pPr>
        <w:spacing w:line="240" w:lineRule="auto"/>
        <w:jc w:val="both"/>
        <w:rPr>
          <w:b w:val="1"/>
          <w:color w:val="0a0a0a"/>
          <w:sz w:val="18"/>
          <w:szCs w:val="18"/>
        </w:rPr>
      </w:pPr>
      <w:r w:rsidDel="00000000" w:rsidR="00000000" w:rsidRPr="00000000">
        <w:rPr>
          <w:b w:val="1"/>
          <w:color w:val="0a0a0a"/>
          <w:sz w:val="18"/>
          <w:szCs w:val="18"/>
          <w:rtl w:val="0"/>
        </w:rPr>
        <w:t xml:space="preserve">Acerca de Grupo Vidanta</w:t>
      </w:r>
    </w:p>
    <w:p w:rsidR="00000000" w:rsidDel="00000000" w:rsidP="00000000" w:rsidRDefault="00000000" w:rsidRPr="00000000" w14:paraId="0000001C">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D">
      <w:pPr>
        <w:spacing w:line="276" w:lineRule="auto"/>
        <w:jc w:val="both"/>
        <w:rPr>
          <w:sz w:val="18"/>
          <w:szCs w:val="18"/>
        </w:rPr>
      </w:pPr>
      <w:r w:rsidDel="00000000" w:rsidR="00000000" w:rsidRPr="00000000">
        <w:rPr>
          <w:sz w:val="18"/>
          <w:szCs w:val="18"/>
          <w:rtl w:val="0"/>
        </w:rPr>
        <w:t xml:space="preserve">Fundado en 1974 por el visionario líder de la industria turística, Daniel Chávez Morán, </w:t>
      </w:r>
      <w:r w:rsidDel="00000000" w:rsidR="00000000" w:rsidRPr="00000000">
        <w:rPr>
          <w:i w:val="1"/>
          <w:sz w:val="18"/>
          <w:szCs w:val="18"/>
          <w:rtl w:val="0"/>
        </w:rPr>
        <w:t xml:space="preserve">Grupo Vidanta</w:t>
      </w:r>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w:t>
      </w:r>
      <w:r w:rsidDel="00000000" w:rsidR="00000000" w:rsidRPr="00000000">
        <w:rPr>
          <w:i w:val="1"/>
          <w:sz w:val="18"/>
          <w:szCs w:val="18"/>
          <w:rtl w:val="0"/>
        </w:rPr>
        <w:t xml:space="preserve">resorts</w:t>
      </w:r>
      <w:r w:rsidDel="00000000" w:rsidR="00000000" w:rsidRPr="00000000">
        <w:rPr>
          <w:sz w:val="18"/>
          <w:szCs w:val="18"/>
          <w:rtl w:val="0"/>
        </w:rPr>
        <w:t xml:space="preserve"> turísticos y espectaculares centros de entretenimiento en los lugares más codiciados de las costas de México –Nuevo Vallarta, Riviera Maya, Los Cabos, Acapulco, Puerto Peñasco, Puerto Vallarta y Mazatlán–, con marcas que incluyen </w:t>
      </w:r>
      <w:r w:rsidDel="00000000" w:rsidR="00000000" w:rsidRPr="00000000">
        <w:rPr>
          <w:i w:val="1"/>
          <w:sz w:val="18"/>
          <w:szCs w:val="18"/>
          <w:rtl w:val="0"/>
        </w:rPr>
        <w:t xml:space="preserve">The Estates</w:t>
      </w:r>
      <w:r w:rsidDel="00000000" w:rsidR="00000000" w:rsidRPr="00000000">
        <w:rPr>
          <w:sz w:val="18"/>
          <w:szCs w:val="18"/>
          <w:rtl w:val="0"/>
        </w:rPr>
        <w:t xml:space="preserve">,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w:t>
      </w:r>
      <w:r w:rsidDel="00000000" w:rsidR="00000000" w:rsidRPr="00000000">
        <w:rPr>
          <w:i w:val="1"/>
          <w:sz w:val="18"/>
          <w:szCs w:val="18"/>
          <w:rtl w:val="0"/>
        </w:rPr>
        <w:t xml:space="preserve"> 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w:t>
      </w:r>
      <w:r w:rsidDel="00000000" w:rsidR="00000000" w:rsidRPr="00000000">
        <w:rPr>
          <w:i w:val="1"/>
          <w:sz w:val="18"/>
          <w:szCs w:val="18"/>
          <w:rtl w:val="0"/>
        </w:rPr>
        <w:t xml:space="preserve">Sea Garden</w:t>
      </w:r>
      <w:r w:rsidDel="00000000" w:rsidR="00000000" w:rsidRPr="00000000">
        <w:rPr>
          <w:sz w:val="18"/>
          <w:szCs w:val="18"/>
          <w:rtl w:val="0"/>
        </w:rPr>
        <w:t xml:space="preserve"> y </w:t>
      </w:r>
      <w:r w:rsidDel="00000000" w:rsidR="00000000" w:rsidRPr="00000000">
        <w:rPr>
          <w:i w:val="1"/>
          <w:sz w:val="18"/>
          <w:szCs w:val="18"/>
          <w:rtl w:val="0"/>
        </w:rPr>
        <w:t xml:space="preserve">Ocean Breeze</w:t>
      </w:r>
      <w:r w:rsidDel="00000000" w:rsidR="00000000" w:rsidRPr="00000000">
        <w:rPr>
          <w:sz w:val="18"/>
          <w:szCs w:val="18"/>
          <w:rtl w:val="0"/>
        </w:rPr>
        <w:t xml:space="preserve">, entre otras.</w:t>
      </w:r>
    </w:p>
    <w:p w:rsidR="00000000" w:rsidDel="00000000" w:rsidP="00000000" w:rsidRDefault="00000000" w:rsidRPr="00000000" w14:paraId="0000001E">
      <w:pPr>
        <w:spacing w:line="276" w:lineRule="auto"/>
        <w:jc w:val="both"/>
        <w:rPr>
          <w:sz w:val="18"/>
          <w:szCs w:val="18"/>
        </w:rPr>
      </w:pPr>
      <w:r w:rsidDel="00000000" w:rsidR="00000000" w:rsidRPr="00000000">
        <w:rPr>
          <w:rtl w:val="0"/>
        </w:rPr>
      </w:r>
    </w:p>
    <w:p w:rsidR="00000000" w:rsidDel="00000000" w:rsidP="00000000" w:rsidRDefault="00000000" w:rsidRPr="00000000" w14:paraId="0000001F">
      <w:pPr>
        <w:spacing w:line="276" w:lineRule="auto"/>
        <w:jc w:val="both"/>
        <w:rPr>
          <w:color w:val="073763"/>
          <w:sz w:val="24"/>
          <w:szCs w:val="24"/>
        </w:rPr>
      </w:pPr>
      <w:r w:rsidDel="00000000" w:rsidR="00000000" w:rsidRPr="00000000">
        <w:rPr>
          <w:sz w:val="18"/>
          <w:szCs w:val="18"/>
          <w:rtl w:val="0"/>
        </w:rPr>
        <w:t xml:space="preserve">Desde hoteles galardonados con Cinco Diamantes por la </w:t>
      </w:r>
      <w:r w:rsidDel="00000000" w:rsidR="00000000" w:rsidRPr="00000000">
        <w:rPr>
          <w:i w:val="1"/>
          <w:sz w:val="18"/>
          <w:szCs w:val="18"/>
          <w:rtl w:val="0"/>
        </w:rPr>
        <w:t xml:space="preserve">AAA</w:t>
      </w:r>
      <w:r w:rsidDel="00000000" w:rsidR="00000000" w:rsidRPr="00000000">
        <w:rPr>
          <w:sz w:val="18"/>
          <w:szCs w:val="18"/>
          <w:rtl w:val="0"/>
        </w:rPr>
        <w:t xml:space="preserve"> hasta una colección internacionalmente reconocida de campos de golf, </w:t>
      </w:r>
      <w:r w:rsidDel="00000000" w:rsidR="00000000" w:rsidRPr="00000000">
        <w:rPr>
          <w:i w:val="1"/>
          <w:sz w:val="18"/>
          <w:szCs w:val="18"/>
          <w:rtl w:val="0"/>
        </w:rPr>
        <w:t xml:space="preserve">Grupo Vidanta </w:t>
      </w:r>
      <w:r w:rsidDel="00000000" w:rsidR="00000000" w:rsidRPr="00000000">
        <w:rPr>
          <w:sz w:val="18"/>
          <w:szCs w:val="18"/>
          <w:rtl w:val="0"/>
        </w:rPr>
        <w:t xml:space="preserve">continúa siendo pionero en alianzas innovadoras. Dentro de estas originales colaboraciones se incluye </w:t>
      </w:r>
      <w:r w:rsidDel="00000000" w:rsidR="00000000" w:rsidRPr="00000000">
        <w:rPr>
          <w:i w:val="1"/>
          <w:sz w:val="18"/>
          <w:szCs w:val="18"/>
          <w:rtl w:val="0"/>
        </w:rPr>
        <w:t xml:space="preserve">Cirque du Soleil JOYÀ</w:t>
      </w:r>
      <w:r w:rsidDel="00000000" w:rsidR="00000000" w:rsidRPr="00000000">
        <w:rPr>
          <w:sz w:val="18"/>
          <w:szCs w:val="18"/>
          <w:rtl w:val="0"/>
        </w:rPr>
        <w:t xml:space="preserve">, la primera experiencia teatral y culinaria, única en su tipo en México y permanente en la Riviera Maya; así como una relación constante con Nicklaus Designs y Greg Norman Golf Course Design para desarrollar espectaculares campos de golf profesionales dentro de los diferentes destinos de Vidanta, además del Campo de Golf Vidanta Vallarta, sede del Mexico Open at Vidanta, el único evento oficial del PGA TOUR en el Pacífico mexicano, gracias a la alianza multianual que se acordó con Grupo Salinas. </w:t>
      </w:r>
      <w:r w:rsidDel="00000000" w:rsidR="00000000" w:rsidRPr="00000000">
        <w:rPr>
          <w:rtl w:val="0"/>
        </w:rPr>
      </w:r>
    </w:p>
    <w:p w:rsidR="00000000" w:rsidDel="00000000" w:rsidP="00000000" w:rsidRDefault="00000000" w:rsidRPr="00000000" w14:paraId="00000020">
      <w:pPr>
        <w:spacing w:line="276" w:lineRule="auto"/>
        <w:jc w:val="both"/>
        <w:rPr>
          <w:color w:val="073763"/>
          <w:sz w:val="24"/>
          <w:szCs w:val="24"/>
        </w:rPr>
      </w:pPr>
      <w:r w:rsidDel="00000000" w:rsidR="00000000" w:rsidRPr="00000000">
        <w:rPr>
          <w:rtl w:val="0"/>
        </w:rPr>
      </w:r>
    </w:p>
    <w:p w:rsidR="00000000" w:rsidDel="00000000" w:rsidP="00000000" w:rsidRDefault="00000000" w:rsidRPr="00000000" w14:paraId="00000021">
      <w:pPr>
        <w:spacing w:line="276" w:lineRule="auto"/>
        <w:jc w:val="both"/>
        <w:rPr>
          <w:color w:val="073763"/>
          <w:sz w:val="24"/>
          <w:szCs w:val="24"/>
        </w:rPr>
      </w:pPr>
      <w:r w:rsidDel="00000000" w:rsidR="00000000" w:rsidRPr="00000000">
        <w:rPr>
          <w:sz w:val="18"/>
          <w:szCs w:val="18"/>
          <w:rtl w:val="0"/>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Estado de Sonora y Grupo Vidanta.</w:t>
      </w: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otorgado por el </w:t>
      </w:r>
      <w:r w:rsidDel="00000000" w:rsidR="00000000" w:rsidRPr="00000000">
        <w:rPr>
          <w:i w:val="1"/>
          <w:sz w:val="18"/>
          <w:szCs w:val="18"/>
          <w:rtl w:val="0"/>
        </w:rPr>
        <w:t xml:space="preserve">CEMEFI (Centro Mexicano para la Filantropía A.C.)</w:t>
      </w:r>
      <w:r w:rsidDel="00000000" w:rsidR="00000000" w:rsidRPr="00000000">
        <w:rPr>
          <w:sz w:val="18"/>
          <w:szCs w:val="18"/>
          <w:rtl w:val="0"/>
        </w:rPr>
        <w:t xml:space="preserve">, las certificaciones </w:t>
      </w:r>
      <w:r w:rsidDel="00000000" w:rsidR="00000000" w:rsidRPr="00000000">
        <w:rPr>
          <w:i w:val="1"/>
          <w:sz w:val="18"/>
          <w:szCs w:val="18"/>
          <w:rtl w:val="0"/>
        </w:rPr>
        <w:t xml:space="preserve">EarthCheck</w:t>
      </w:r>
      <w:r w:rsidDel="00000000" w:rsidR="00000000" w:rsidRPr="00000000">
        <w:rPr>
          <w:sz w:val="18"/>
          <w:szCs w:val="18"/>
          <w:rtl w:val="0"/>
        </w:rPr>
        <w:t xml:space="preserve"> y sus fundaciones sin fines de lucro, </w:t>
      </w:r>
      <w:r w:rsidDel="00000000" w:rsidR="00000000" w:rsidRPr="00000000">
        <w:rPr>
          <w:i w:val="1"/>
          <w:sz w:val="18"/>
          <w:szCs w:val="18"/>
          <w:rtl w:val="0"/>
        </w:rPr>
        <w:t xml:space="preserve">Fundación Vidanta</w:t>
      </w:r>
      <w:r w:rsidDel="00000000" w:rsidR="00000000" w:rsidRPr="00000000">
        <w:rPr>
          <w:sz w:val="18"/>
          <w:szCs w:val="18"/>
          <w:rtl w:val="0"/>
        </w:rPr>
        <w:t xml:space="preserve"> y </w:t>
      </w:r>
      <w:r w:rsidDel="00000000" w:rsidR="00000000" w:rsidRPr="00000000">
        <w:rPr>
          <w:i w:val="1"/>
          <w:sz w:val="18"/>
          <w:szCs w:val="18"/>
          <w:rtl w:val="0"/>
        </w:rPr>
        <w:t xml:space="preserve">Fundación Delia Morán Vidanta</w:t>
      </w:r>
      <w:r w:rsidDel="00000000" w:rsidR="00000000" w:rsidRPr="00000000">
        <w:rPr>
          <w:sz w:val="18"/>
          <w:szCs w:val="18"/>
          <w:rtl w:val="0"/>
        </w:rPr>
        <w:t xml:space="preserve">.</w:t>
      </w:r>
    </w:p>
    <w:p w:rsidR="00000000" w:rsidDel="00000000" w:rsidP="00000000" w:rsidRDefault="00000000" w:rsidRPr="00000000" w14:paraId="00000024">
      <w:pPr>
        <w:spacing w:line="276" w:lineRule="auto"/>
        <w:jc w:val="both"/>
        <w:rPr>
          <w:sz w:val="18"/>
          <w:szCs w:val="18"/>
        </w:rPr>
      </w:pPr>
      <w:r w:rsidDel="00000000" w:rsidR="00000000" w:rsidRPr="00000000">
        <w:rPr>
          <w:rtl w:val="0"/>
        </w:rPr>
      </w:r>
    </w:p>
    <w:p w:rsidR="00000000" w:rsidDel="00000000" w:rsidP="00000000" w:rsidRDefault="00000000" w:rsidRPr="00000000" w14:paraId="00000025">
      <w:pPr>
        <w:spacing w:line="276" w:lineRule="auto"/>
        <w:jc w:val="both"/>
        <w:rPr>
          <w:sz w:val="18"/>
          <w:szCs w:val="18"/>
        </w:rPr>
      </w:pPr>
      <w:r w:rsidDel="00000000" w:rsidR="00000000" w:rsidRPr="00000000">
        <w:rPr>
          <w:sz w:val="18"/>
          <w:szCs w:val="18"/>
          <w:rtl w:val="0"/>
        </w:rPr>
        <w:t xml:space="preserve">Recientemente,</w:t>
      </w:r>
      <w:r w:rsidDel="00000000" w:rsidR="00000000" w:rsidRPr="00000000">
        <w:rPr>
          <w:i w:val="1"/>
          <w:sz w:val="18"/>
          <w:szCs w:val="18"/>
          <w:rtl w:val="0"/>
        </w:rPr>
        <w:t xml:space="preserve"> Grupo Vidanta</w:t>
      </w:r>
      <w:r w:rsidDel="00000000" w:rsidR="00000000" w:rsidRPr="00000000">
        <w:rPr>
          <w:sz w:val="18"/>
          <w:szCs w:val="18"/>
          <w:rtl w:val="0"/>
        </w:rPr>
        <w:t xml:space="preserve"> anunció la introducción </w:t>
      </w:r>
      <w:r w:rsidDel="00000000" w:rsidR="00000000" w:rsidRPr="00000000">
        <w:rPr>
          <w:i w:val="1"/>
          <w:sz w:val="18"/>
          <w:szCs w:val="18"/>
          <w:rtl w:val="0"/>
        </w:rPr>
        <w:t xml:space="preserve">The Estates</w:t>
      </w:r>
      <w:r w:rsidDel="00000000" w:rsidR="00000000" w:rsidRPr="00000000">
        <w:rPr>
          <w:sz w:val="18"/>
          <w:szCs w:val="18"/>
          <w:rtl w:val="0"/>
        </w:rPr>
        <w:t xml:space="preserve"> a su portafolio, la más exclusiva y suntuosa propuesta de hospedaje que ofrece extraordinarias amenidades y experiencias vacacionales en México; además de </w:t>
      </w:r>
      <w:r w:rsidDel="00000000" w:rsidR="00000000" w:rsidRPr="00000000">
        <w:rPr>
          <w:i w:val="1"/>
          <w:sz w:val="18"/>
          <w:szCs w:val="18"/>
          <w:rtl w:val="0"/>
        </w:rPr>
        <w:t xml:space="preserve">Vidanta Cruises</w:t>
      </w:r>
      <w:r w:rsidDel="00000000" w:rsidR="00000000" w:rsidRPr="00000000">
        <w:rPr>
          <w:sz w:val="18"/>
          <w:szCs w:val="18"/>
          <w:rtl w:val="0"/>
        </w:rPr>
        <w:t xml:space="preserve">, la primera línea mexicana de cruceros de lujo.</w:t>
      </w:r>
    </w:p>
    <w:p w:rsidR="00000000" w:rsidDel="00000000" w:rsidP="00000000" w:rsidRDefault="00000000" w:rsidRPr="00000000" w14:paraId="00000026">
      <w:pPr>
        <w:spacing w:line="276" w:lineRule="auto"/>
        <w:jc w:val="both"/>
        <w:rPr>
          <w:sz w:val="18"/>
          <w:szCs w:val="18"/>
        </w:rPr>
      </w:pPr>
      <w:r w:rsidDel="00000000" w:rsidR="00000000" w:rsidRPr="00000000">
        <w:rPr>
          <w:rtl w:val="0"/>
        </w:rPr>
      </w:r>
    </w:p>
    <w:p w:rsidR="00000000" w:rsidDel="00000000" w:rsidP="00000000" w:rsidRDefault="00000000" w:rsidRPr="00000000" w14:paraId="00000027">
      <w:pPr>
        <w:spacing w:line="276" w:lineRule="auto"/>
        <w:jc w:val="both"/>
        <w:rPr>
          <w:sz w:val="18"/>
          <w:szCs w:val="18"/>
        </w:rPr>
      </w:pPr>
      <w:r w:rsidDel="00000000" w:rsidR="00000000" w:rsidRPr="00000000">
        <w:rPr>
          <w:sz w:val="18"/>
          <w:szCs w:val="18"/>
          <w:rtl w:val="0"/>
        </w:rPr>
        <w:t xml:space="preserve">Para obtener más información, visite </w:t>
      </w:r>
      <w:hyperlink r:id="rId7">
        <w:r w:rsidDel="00000000" w:rsidR="00000000" w:rsidRPr="00000000">
          <w:rPr>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28">
      <w:pPr>
        <w:spacing w:line="240" w:lineRule="auto"/>
        <w:jc w:val="both"/>
        <w:rPr>
          <w:color w:val="0a0a0a"/>
          <w:sz w:val="18"/>
          <w:szCs w:val="18"/>
        </w:rPr>
      </w:pPr>
      <w:r w:rsidDel="00000000" w:rsidR="00000000" w:rsidRPr="00000000">
        <w:rPr>
          <w:rtl w:val="0"/>
        </w:rPr>
      </w:r>
    </w:p>
    <w:p w:rsidR="00000000" w:rsidDel="00000000" w:rsidP="00000000" w:rsidRDefault="00000000" w:rsidRPr="00000000" w14:paraId="00000029">
      <w:pPr>
        <w:spacing w:line="240" w:lineRule="auto"/>
        <w:jc w:val="both"/>
        <w:rPr>
          <w:i w:val="1"/>
          <w:color w:val="0a0a0a"/>
          <w:sz w:val="18"/>
          <w:szCs w:val="18"/>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sz w:val="20"/>
          <w:szCs w:val="20"/>
        </w:rPr>
      </w:pPr>
      <w:r w:rsidDel="00000000" w:rsidR="00000000" w:rsidRPr="00000000">
        <w:rPr>
          <w:sz w:val="20"/>
          <w:szCs w:val="20"/>
          <w:rtl w:val="0"/>
        </w:rPr>
        <w:t xml:space="preserve">Mariana Espíritu | PR Expert</w:t>
      </w:r>
    </w:p>
    <w:p w:rsidR="00000000" w:rsidDel="00000000" w:rsidP="00000000" w:rsidRDefault="00000000" w:rsidRPr="00000000" w14:paraId="0000002E">
      <w:pPr>
        <w:spacing w:line="240" w:lineRule="auto"/>
        <w:jc w:val="both"/>
        <w:rPr>
          <w:b w:val="1"/>
          <w:sz w:val="20"/>
          <w:szCs w:val="20"/>
        </w:rPr>
      </w:pPr>
      <w:hyperlink r:id="rId8">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2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sz w:val="20"/>
          <w:szCs w:val="20"/>
          <w:rtl w:val="0"/>
        </w:rPr>
        <w:t xml:space="preserve">Melissa Aladro | Tourism PR Manager</w:t>
      </w:r>
    </w:p>
    <w:p w:rsidR="00000000" w:rsidDel="00000000" w:rsidP="00000000" w:rsidRDefault="00000000" w:rsidRPr="00000000" w14:paraId="00000031">
      <w:pPr>
        <w:spacing w:line="240" w:lineRule="auto"/>
        <w:jc w:val="both"/>
        <w:rPr/>
      </w:pPr>
      <w:hyperlink r:id="rId9">
        <w:r w:rsidDel="00000000" w:rsidR="00000000" w:rsidRPr="00000000">
          <w:rPr>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2">
      <w:pPr>
        <w:spacing w:line="276" w:lineRule="auto"/>
        <w:jc w:val="both"/>
        <w:rPr>
          <w:sz w:val="24"/>
          <w:szCs w:val="24"/>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pPr>
    <w:r w:rsidDel="00000000" w:rsidR="00000000" w:rsidRPr="00000000">
      <w:rPr/>
      <w:drawing>
        <wp:inline distB="0" distT="0" distL="0" distR="0">
          <wp:extent cx="2752636" cy="601345"/>
          <wp:effectExtent b="0" l="0" r="0" t="0"/>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752636" cy="6013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hyperlink" Target="https://www.grupovidanta.com/es/index.html" TargetMode="External"/><Relationship Id="rId7" Type="http://schemas.openxmlformats.org/officeDocument/2006/relationships/hyperlink" Target="http://www.grupovidanta.com" TargetMode="External"/><Relationship Id="rId8" Type="http://schemas.openxmlformats.org/officeDocument/2006/relationships/hyperlink" Target="mailto:mariana.espirit@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